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175D3153" w:rsidR="00D25778" w:rsidRDefault="00D25778" w:rsidP="00552434">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DE7659">
        <w:rPr>
          <w:rFonts w:ascii="Open Sans" w:hAnsi="Open Sans" w:cs="Open Sans"/>
          <w:b/>
        </w:rPr>
        <w:t>9</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472C8063" w14:textId="395003B0" w:rsidR="00E629A6" w:rsidRPr="00E629A6" w:rsidRDefault="00E629A6" w:rsidP="00E629A6">
      <w:pPr>
        <w:rPr>
          <w:b/>
          <w:bCs/>
          <w:color w:val="2F5496"/>
          <w:sz w:val="32"/>
          <w:szCs w:val="32"/>
        </w:rPr>
      </w:pPr>
      <w:r w:rsidRPr="00E629A6">
        <w:rPr>
          <w:b/>
          <w:bCs/>
          <w:color w:val="2F5496"/>
          <w:sz w:val="32"/>
          <w:szCs w:val="32"/>
        </w:rPr>
        <w:t xml:space="preserve">Education and training – </w:t>
      </w:r>
      <w:r w:rsidR="00DE7659">
        <w:rPr>
          <w:b/>
          <w:bCs/>
          <w:color w:val="2F5496"/>
          <w:sz w:val="32"/>
          <w:szCs w:val="32"/>
        </w:rPr>
        <w:t>Families</w:t>
      </w:r>
    </w:p>
    <w:p w14:paraId="231709D8" w14:textId="77777777" w:rsidR="00DE7659" w:rsidRPr="00C6778A" w:rsidRDefault="00DE7659" w:rsidP="00552434">
      <w:pPr>
        <w:pStyle w:val="Heading2"/>
      </w:pPr>
      <w:bookmarkStart w:id="0" w:name="_Toc61445997"/>
      <w:bookmarkStart w:id="1" w:name="_Toc61452117"/>
      <w:bookmarkStart w:id="2" w:name="_Toc62135247"/>
      <w:r w:rsidRPr="00C6778A">
        <w:t>Families</w:t>
      </w:r>
      <w:bookmarkEnd w:id="0"/>
      <w:bookmarkEnd w:id="1"/>
      <w:bookmarkEnd w:id="2"/>
    </w:p>
    <w:p w14:paraId="45E16674" w14:textId="77777777" w:rsidR="00DE7659" w:rsidRPr="00552434" w:rsidRDefault="00DE7659" w:rsidP="00552434">
      <w:pPr>
        <w:jc w:val="left"/>
        <w:rPr>
          <w:rFonts w:cs="Arial"/>
          <w:color w:val="44546A" w:themeColor="text2"/>
          <w:sz w:val="22"/>
        </w:rPr>
      </w:pPr>
      <w:r w:rsidRPr="00552434">
        <w:rPr>
          <w:rFonts w:cs="Arial"/>
          <w:color w:val="44546A" w:themeColor="text2"/>
          <w:sz w:val="22"/>
        </w:rPr>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732458D0" w14:textId="77777777" w:rsidR="00DE7659" w:rsidRPr="00552434" w:rsidRDefault="00DE7659" w:rsidP="00552434">
      <w:pPr>
        <w:jc w:val="left"/>
        <w:rPr>
          <w:rStyle w:val="Blue-Arial10-optionaltext-templatesChar"/>
          <w:rFonts w:cs="Arial"/>
          <w:color w:val="96BE2B"/>
          <w:sz w:val="22"/>
          <w:szCs w:val="22"/>
        </w:rPr>
      </w:pPr>
      <w:r w:rsidRPr="00552434">
        <w:rPr>
          <w:rFonts w:cs="Arial"/>
          <w:sz w:val="22"/>
        </w:rPr>
        <w:t xml:space="preserve">The school will seek to provide information and awareness to parents and carers through: </w:t>
      </w:r>
      <w:r w:rsidRPr="00552434">
        <w:rPr>
          <w:rStyle w:val="GridBlueChar"/>
          <w:sz w:val="22"/>
        </w:rPr>
        <w:t>(select/delete as appropriate)</w:t>
      </w:r>
    </w:p>
    <w:p w14:paraId="54701A3F" w14:textId="77777777" w:rsidR="00DE7659" w:rsidRPr="00552434" w:rsidRDefault="00DE7659" w:rsidP="00552434">
      <w:pPr>
        <w:pStyle w:val="ListParagraph"/>
        <w:numPr>
          <w:ilvl w:val="0"/>
          <w:numId w:val="1"/>
        </w:numPr>
        <w:spacing w:after="240" w:line="288" w:lineRule="auto"/>
        <w:jc w:val="left"/>
        <w:rPr>
          <w:i/>
          <w:iCs/>
          <w:sz w:val="22"/>
        </w:rPr>
      </w:pPr>
      <w:r w:rsidRPr="00552434">
        <w:rPr>
          <w:i/>
          <w:iCs/>
          <w:sz w:val="22"/>
        </w:rPr>
        <w:t xml:space="preserve">regular communication, awareness-raising and engagement on online safety issues, curriculum activities and reporting routes </w:t>
      </w:r>
    </w:p>
    <w:p w14:paraId="6BABD84C" w14:textId="77777777" w:rsidR="00DE7659" w:rsidRPr="00552434" w:rsidRDefault="00DE7659" w:rsidP="00552434">
      <w:pPr>
        <w:pStyle w:val="ListParagraph"/>
        <w:numPr>
          <w:ilvl w:val="0"/>
          <w:numId w:val="1"/>
        </w:numPr>
        <w:spacing w:after="240" w:line="288" w:lineRule="auto"/>
        <w:jc w:val="left"/>
        <w:rPr>
          <w:i/>
          <w:iCs/>
          <w:sz w:val="22"/>
        </w:rPr>
      </w:pPr>
      <w:r w:rsidRPr="00552434">
        <w:rPr>
          <w:i/>
          <w:iCs/>
          <w:sz w:val="22"/>
        </w:rPr>
        <w:t xml:space="preserve">regular opportunities for engagement with parents/carers on online safety issues through awareness workshops/parent/carer evenings etc </w:t>
      </w:r>
    </w:p>
    <w:p w14:paraId="3A95CDA7" w14:textId="77777777" w:rsidR="00DE7659" w:rsidRPr="00552434" w:rsidRDefault="00DE7659" w:rsidP="00552434">
      <w:pPr>
        <w:pStyle w:val="ListParagraph"/>
        <w:numPr>
          <w:ilvl w:val="0"/>
          <w:numId w:val="1"/>
        </w:numPr>
        <w:spacing w:after="240" w:line="288" w:lineRule="auto"/>
        <w:jc w:val="left"/>
        <w:rPr>
          <w:i/>
          <w:iCs/>
          <w:sz w:val="22"/>
        </w:rPr>
      </w:pPr>
      <w:r w:rsidRPr="00552434">
        <w:rPr>
          <w:i/>
          <w:iCs/>
          <w:sz w:val="22"/>
        </w:rPr>
        <w:t xml:space="preserve">the learners – who are encouraged to pass on to parents the online safety messages they have learned in lessons and by learners leading sessions at parent/carer evenings. </w:t>
      </w:r>
    </w:p>
    <w:p w14:paraId="1FFF44D4" w14:textId="77777777" w:rsidR="00DE7659" w:rsidRPr="00552434" w:rsidRDefault="00DE7659" w:rsidP="00552434">
      <w:pPr>
        <w:pStyle w:val="ListParagraph"/>
        <w:numPr>
          <w:ilvl w:val="0"/>
          <w:numId w:val="1"/>
        </w:numPr>
        <w:spacing w:after="240" w:line="288" w:lineRule="auto"/>
        <w:jc w:val="left"/>
        <w:rPr>
          <w:i/>
          <w:iCs/>
          <w:sz w:val="22"/>
        </w:rPr>
      </w:pPr>
      <w:r w:rsidRPr="00552434">
        <w:rPr>
          <w:i/>
          <w:iCs/>
          <w:sz w:val="22"/>
        </w:rPr>
        <w:t>letters, newsletters, website, learning platform, Hwb</w:t>
      </w:r>
    </w:p>
    <w:p w14:paraId="1F004598" w14:textId="77777777" w:rsidR="00DE7659" w:rsidRPr="00552434" w:rsidRDefault="00DE7659" w:rsidP="00552434">
      <w:pPr>
        <w:pStyle w:val="ListParagraph"/>
        <w:numPr>
          <w:ilvl w:val="0"/>
          <w:numId w:val="1"/>
        </w:numPr>
        <w:spacing w:after="240" w:line="288" w:lineRule="auto"/>
        <w:jc w:val="left"/>
        <w:rPr>
          <w:rStyle w:val="GridBlueChar"/>
          <w:i/>
          <w:iCs/>
          <w:sz w:val="22"/>
          <w:u w:val="single"/>
        </w:rPr>
      </w:pPr>
      <w:r w:rsidRPr="00552434">
        <w:rPr>
          <w:i/>
          <w:iCs/>
          <w:sz w:val="22"/>
        </w:rPr>
        <w:t xml:space="preserve">high profile events/campaigns e.g. </w:t>
      </w:r>
      <w:hyperlink r:id="rId7" w:history="1">
        <w:r w:rsidRPr="00552434">
          <w:rPr>
            <w:rStyle w:val="GridBlueChar"/>
            <w:i/>
            <w:iCs/>
            <w:sz w:val="22"/>
            <w:u w:val="single"/>
          </w:rPr>
          <w:t>Safe Internet Day</w:t>
        </w:r>
      </w:hyperlink>
    </w:p>
    <w:p w14:paraId="687AA41E" w14:textId="77777777" w:rsidR="00DE7659" w:rsidRPr="00552434" w:rsidRDefault="00DE7659" w:rsidP="00552434">
      <w:pPr>
        <w:pStyle w:val="ListParagraph"/>
        <w:numPr>
          <w:ilvl w:val="0"/>
          <w:numId w:val="1"/>
        </w:numPr>
        <w:spacing w:after="240" w:line="288" w:lineRule="auto"/>
        <w:jc w:val="left"/>
        <w:rPr>
          <w:i/>
          <w:iCs/>
          <w:color w:val="1F3864" w:themeColor="accent1" w:themeShade="80"/>
          <w:sz w:val="22"/>
        </w:rPr>
      </w:pPr>
      <w:r w:rsidRPr="00552434">
        <w:rPr>
          <w:i/>
          <w:iCs/>
          <w:sz w:val="22"/>
        </w:rPr>
        <w:t xml:space="preserve">reference to the relevant web sites/publications, e.g. Hwb </w:t>
      </w:r>
      <w:hyperlink r:id="rId8" w:history="1">
        <w:r w:rsidRPr="00552434">
          <w:rPr>
            <w:rStyle w:val="GridBlueChar"/>
            <w:i/>
            <w:iCs/>
            <w:sz w:val="22"/>
            <w:u w:val="single"/>
          </w:rPr>
          <w:t>Keeping safe online</w:t>
        </w:r>
      </w:hyperlink>
      <w:r w:rsidRPr="00552434">
        <w:rPr>
          <w:rStyle w:val="GridBlueChar"/>
          <w:i/>
          <w:iCs/>
          <w:sz w:val="22"/>
          <w:u w:val="single"/>
        </w:rPr>
        <w:t xml:space="preserve">, </w:t>
      </w:r>
      <w:hyperlink r:id="rId9" w:history="1">
        <w:r w:rsidRPr="00552434">
          <w:rPr>
            <w:rStyle w:val="IntenseEmphasis"/>
            <w:i/>
            <w:iCs w:val="0"/>
            <w:sz w:val="22"/>
          </w:rPr>
          <w:t>www.saferinternet.org.uk/</w:t>
        </w:r>
      </w:hyperlink>
      <w:r w:rsidRPr="00552434">
        <w:rPr>
          <w:rStyle w:val="IntenseEmphasis"/>
          <w:i/>
          <w:iCs w:val="0"/>
          <w:sz w:val="22"/>
        </w:rPr>
        <w:t xml:space="preserve"> </w:t>
      </w:r>
      <w:hyperlink r:id="rId10" w:history="1">
        <w:r w:rsidRPr="00552434">
          <w:rPr>
            <w:rStyle w:val="IntenseEmphasis"/>
            <w:i/>
            <w:iCs w:val="0"/>
            <w:sz w:val="22"/>
          </w:rPr>
          <w:t>www.childnet.com/parents-and-carers</w:t>
        </w:r>
      </w:hyperlink>
      <w:r w:rsidRPr="00552434">
        <w:rPr>
          <w:i/>
          <w:iCs/>
          <w:sz w:val="22"/>
        </w:rPr>
        <w:t xml:space="preserve"> (see Appendix for further links/resources).</w:t>
      </w:r>
    </w:p>
    <w:p w14:paraId="43F7132D" w14:textId="77777777" w:rsidR="00DE7659" w:rsidRPr="00552434" w:rsidRDefault="00DE7659" w:rsidP="00552434">
      <w:pPr>
        <w:pStyle w:val="ListParagraph"/>
        <w:numPr>
          <w:ilvl w:val="0"/>
          <w:numId w:val="1"/>
        </w:numPr>
        <w:spacing w:after="240" w:line="288" w:lineRule="auto"/>
        <w:jc w:val="left"/>
        <w:rPr>
          <w:i/>
          <w:iCs/>
          <w:color w:val="1F3864" w:themeColor="accent1" w:themeShade="80"/>
          <w:sz w:val="22"/>
        </w:rPr>
      </w:pPr>
      <w:r w:rsidRPr="00552434">
        <w:rPr>
          <w:i/>
          <w:iCs/>
          <w:sz w:val="22"/>
        </w:rPr>
        <w:t>Sharing good practice with other schools in clusters and or the local authority</w:t>
      </w:r>
    </w:p>
    <w:p w14:paraId="5AF171AD" w14:textId="1B6CE14C" w:rsidR="00E629A6" w:rsidRDefault="00E629A6" w:rsidP="00552434">
      <w:pPr>
        <w:jc w:val="left"/>
        <w:rPr>
          <w:rFonts w:ascii="Arial" w:hAnsi="Arial" w:cs="Arial"/>
          <w:color w:val="466DB0"/>
          <w:sz w:val="18"/>
          <w:szCs w:val="18"/>
        </w:rPr>
      </w:pPr>
    </w:p>
    <w:p w14:paraId="3B0BE3F9" w14:textId="77777777" w:rsidR="007862BB" w:rsidRDefault="007862BB" w:rsidP="00813E39">
      <w:pPr>
        <w:rPr>
          <w:rFonts w:ascii="Arial" w:hAnsi="Arial" w:cs="Arial"/>
          <w:color w:val="466DB0"/>
          <w:sz w:val="18"/>
          <w:szCs w:val="18"/>
        </w:rPr>
      </w:pPr>
    </w:p>
    <w:p w14:paraId="2AF46B80" w14:textId="4929DBE0" w:rsidR="00813E39" w:rsidRPr="0084081A" w:rsidRDefault="00813E39" w:rsidP="00813E39">
      <w:pPr>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1"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55B2F8A1" w:rsidR="00813E39" w:rsidRPr="0084081A" w:rsidRDefault="00813E39" w:rsidP="00813E39">
      <w:pPr>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A84864">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697CF873" w:rsidR="00834CB9" w:rsidRPr="0084081A" w:rsidRDefault="00813E39" w:rsidP="00834CB9">
      <w:pPr>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A84864">
        <w:rPr>
          <w:rFonts w:ascii="Arial" w:hAnsi="Arial" w:cs="Arial"/>
          <w:color w:val="466DB0"/>
          <w:sz w:val="18"/>
          <w:szCs w:val="18"/>
        </w:rPr>
        <w:t>4</w:t>
      </w:r>
    </w:p>
    <w:sectPr w:rsidR="00834CB9" w:rsidRPr="0084081A" w:rsidSect="00A7666B">
      <w:headerReference w:type="even" r:id="rId12"/>
      <w:headerReference w:type="default" r:id="rId13"/>
      <w:footerReference w:type="even" r:id="rId14"/>
      <w:footerReference w:type="default" r:id="rId15"/>
      <w:headerReference w:type="first" r:id="rId16"/>
      <w:footerReference w:type="first" r:id="rId17"/>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99F71" w14:textId="77777777" w:rsidR="00A7666B" w:rsidRDefault="00A7666B" w:rsidP="00B7074B">
      <w:pPr>
        <w:spacing w:after="0" w:line="240" w:lineRule="auto"/>
      </w:pPr>
      <w:r>
        <w:separator/>
      </w:r>
    </w:p>
  </w:endnote>
  <w:endnote w:type="continuationSeparator" w:id="0">
    <w:p w14:paraId="19C1E93A" w14:textId="77777777" w:rsidR="00A7666B" w:rsidRDefault="00A7666B"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2C956" w14:textId="77777777" w:rsidR="004302D0" w:rsidRDefault="0043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150E" w14:textId="77777777" w:rsidR="004302D0" w:rsidRDefault="00430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A8858" w14:textId="77777777" w:rsidR="004302D0" w:rsidRDefault="0043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DEF76" w14:textId="77777777" w:rsidR="00A7666B" w:rsidRDefault="00A7666B" w:rsidP="00B7074B">
      <w:pPr>
        <w:spacing w:after="0" w:line="240" w:lineRule="auto"/>
      </w:pPr>
      <w:r>
        <w:separator/>
      </w:r>
    </w:p>
  </w:footnote>
  <w:footnote w:type="continuationSeparator" w:id="0">
    <w:p w14:paraId="435CFE8B" w14:textId="77777777" w:rsidR="00A7666B" w:rsidRDefault="00A7666B"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2FBF7" w14:textId="77777777" w:rsidR="004302D0" w:rsidRDefault="00430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78759FE0"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5821" w14:textId="77777777" w:rsidR="004302D0" w:rsidRDefault="0043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7639E7"/>
    <w:multiLevelType w:val="hybridMultilevel"/>
    <w:tmpl w:val="22CC51A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2129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F53BC"/>
    <w:rsid w:val="003064A1"/>
    <w:rsid w:val="003C567D"/>
    <w:rsid w:val="004302D0"/>
    <w:rsid w:val="00451A10"/>
    <w:rsid w:val="00466AF6"/>
    <w:rsid w:val="004835C1"/>
    <w:rsid w:val="004C4E3A"/>
    <w:rsid w:val="00522F64"/>
    <w:rsid w:val="00535439"/>
    <w:rsid w:val="00552434"/>
    <w:rsid w:val="00587EBB"/>
    <w:rsid w:val="005B7E0E"/>
    <w:rsid w:val="005F086D"/>
    <w:rsid w:val="006A5DF1"/>
    <w:rsid w:val="006B135B"/>
    <w:rsid w:val="006B2CAC"/>
    <w:rsid w:val="006E466F"/>
    <w:rsid w:val="00734F3F"/>
    <w:rsid w:val="0073622A"/>
    <w:rsid w:val="00744120"/>
    <w:rsid w:val="007862BB"/>
    <w:rsid w:val="007E00B5"/>
    <w:rsid w:val="00804D4A"/>
    <w:rsid w:val="00813E39"/>
    <w:rsid w:val="00834CB9"/>
    <w:rsid w:val="0084081A"/>
    <w:rsid w:val="00890749"/>
    <w:rsid w:val="008E1FCF"/>
    <w:rsid w:val="008F1262"/>
    <w:rsid w:val="00934378"/>
    <w:rsid w:val="0093472E"/>
    <w:rsid w:val="00962A62"/>
    <w:rsid w:val="009A516B"/>
    <w:rsid w:val="009C0D84"/>
    <w:rsid w:val="00A04868"/>
    <w:rsid w:val="00A7666B"/>
    <w:rsid w:val="00A84864"/>
    <w:rsid w:val="00AF6E78"/>
    <w:rsid w:val="00B03B5B"/>
    <w:rsid w:val="00B7074B"/>
    <w:rsid w:val="00B90EA0"/>
    <w:rsid w:val="00BD0F14"/>
    <w:rsid w:val="00C06627"/>
    <w:rsid w:val="00C87932"/>
    <w:rsid w:val="00C87C49"/>
    <w:rsid w:val="00C9182F"/>
    <w:rsid w:val="00CE6CBC"/>
    <w:rsid w:val="00CF1CC7"/>
    <w:rsid w:val="00D25778"/>
    <w:rsid w:val="00D84B14"/>
    <w:rsid w:val="00DD3BDB"/>
    <w:rsid w:val="00DE5344"/>
    <w:rsid w:val="00DE7659"/>
    <w:rsid w:val="00E629A6"/>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zones/keeping-safe-onlin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wb.gov.wales/zones/keeping-safe-online/safer-internet-da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linesafety@swgfl.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hildnet.com/parents-and-car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ferinternet.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2021-01-27T17:19:00Z</dcterms:created>
  <dcterms:modified xsi:type="dcterms:W3CDTF">2024-03-26T19:32:00Z</dcterms:modified>
</cp:coreProperties>
</file>